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2" w:rsidRDefault="001B5143" w:rsidP="001B5143">
      <w:pPr>
        <w:jc w:val="center"/>
        <w:rPr>
          <w:rFonts w:ascii="Garamond" w:hAnsi="Garamond" w:cs="Times New Roman"/>
          <w:b/>
          <w:i/>
          <w:sz w:val="36"/>
          <w:szCs w:val="36"/>
        </w:rPr>
      </w:pPr>
      <w:bookmarkStart w:id="0" w:name="_GoBack"/>
      <w:bookmarkEnd w:id="0"/>
      <w:r w:rsidRPr="00CD0912">
        <w:rPr>
          <w:rFonts w:ascii="Garamond" w:hAnsi="Garamond" w:cs="Times New Roman"/>
          <w:b/>
          <w:i/>
          <w:noProof/>
          <w:sz w:val="36"/>
          <w:szCs w:val="36"/>
        </w:rPr>
        <w:drawing>
          <wp:anchor distT="0" distB="0" distL="114300" distR="114300" simplePos="0" relativeHeight="251658240" behindDoc="0" locked="0" layoutInCell="1" allowOverlap="1" wp14:anchorId="0292F93F" wp14:editId="5B709B62">
            <wp:simplePos x="0" y="0"/>
            <wp:positionH relativeFrom="column">
              <wp:posOffset>-609600</wp:posOffset>
            </wp:positionH>
            <wp:positionV relativeFrom="paragraph">
              <wp:posOffset>-342900</wp:posOffset>
            </wp:positionV>
            <wp:extent cx="1676400" cy="2367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2367915"/>
                    </a:xfrm>
                    <a:prstGeom prst="rect">
                      <a:avLst/>
                    </a:prstGeom>
                  </pic:spPr>
                </pic:pic>
              </a:graphicData>
            </a:graphic>
            <wp14:sizeRelH relativeFrom="page">
              <wp14:pctWidth>0</wp14:pctWidth>
            </wp14:sizeRelH>
            <wp14:sizeRelV relativeFrom="page">
              <wp14:pctHeight>0</wp14:pctHeight>
            </wp14:sizeRelV>
          </wp:anchor>
        </w:drawing>
      </w:r>
      <w:r w:rsidRPr="00CD0912">
        <w:rPr>
          <w:rFonts w:ascii="Garamond" w:hAnsi="Garamond" w:cs="Times New Roman"/>
          <w:b/>
          <w:i/>
          <w:sz w:val="36"/>
          <w:szCs w:val="36"/>
        </w:rPr>
        <w:t xml:space="preserve">International Social Science Review </w:t>
      </w:r>
    </w:p>
    <w:p w:rsidR="001B5143" w:rsidRPr="00CD0912" w:rsidRDefault="001B5143" w:rsidP="001B5143">
      <w:pPr>
        <w:jc w:val="center"/>
        <w:rPr>
          <w:rFonts w:ascii="Garamond" w:hAnsi="Garamond" w:cs="Times New Roman"/>
          <w:b/>
          <w:i/>
          <w:sz w:val="36"/>
          <w:szCs w:val="36"/>
        </w:rPr>
      </w:pPr>
      <w:r w:rsidRPr="00CD0912">
        <w:rPr>
          <w:rFonts w:ascii="Garamond" w:hAnsi="Garamond" w:cs="Times New Roman"/>
          <w:b/>
          <w:i/>
          <w:sz w:val="36"/>
          <w:szCs w:val="36"/>
        </w:rPr>
        <w:t>Submission &amp;</w:t>
      </w:r>
    </w:p>
    <w:p w:rsidR="001B5143" w:rsidRPr="00CD0912" w:rsidRDefault="001B5143" w:rsidP="001B5143">
      <w:pPr>
        <w:jc w:val="center"/>
        <w:rPr>
          <w:rFonts w:ascii="Garamond" w:hAnsi="Garamond" w:cs="Times New Roman"/>
          <w:b/>
          <w:i/>
          <w:sz w:val="36"/>
          <w:szCs w:val="36"/>
        </w:rPr>
      </w:pPr>
      <w:r w:rsidRPr="00CD0912">
        <w:rPr>
          <w:rFonts w:ascii="Garamond" w:hAnsi="Garamond" w:cs="Times New Roman"/>
          <w:b/>
          <w:i/>
          <w:sz w:val="36"/>
          <w:szCs w:val="36"/>
        </w:rPr>
        <w:t>Publication Guide</w:t>
      </w:r>
    </w:p>
    <w:p w:rsidR="00CD0912" w:rsidRDefault="002B7564" w:rsidP="00CD0912">
      <w:pPr>
        <w:rPr>
          <w:rFonts w:ascii="Garamond" w:hAnsi="Garamond"/>
          <w:color w:val="333333"/>
          <w:sz w:val="24"/>
          <w:szCs w:val="24"/>
        </w:rPr>
      </w:pPr>
      <w:r w:rsidRPr="00733E4C">
        <w:rPr>
          <w:rFonts w:ascii="Garamond" w:hAnsi="Garamond"/>
          <w:color w:val="333333"/>
          <w:sz w:val="24"/>
          <w:szCs w:val="24"/>
        </w:rPr>
        <w:t xml:space="preserve"> - The </w:t>
      </w:r>
      <w:r w:rsidRPr="00733E4C">
        <w:rPr>
          <w:rStyle w:val="Emphasis"/>
          <w:rFonts w:ascii="Garamond" w:hAnsi="Garamond"/>
          <w:color w:val="333333"/>
          <w:sz w:val="24"/>
          <w:szCs w:val="24"/>
        </w:rPr>
        <w:t>International Social Science Review</w:t>
      </w:r>
      <w:r w:rsidRPr="00733E4C">
        <w:rPr>
          <w:rFonts w:ascii="Garamond" w:hAnsi="Garamond"/>
          <w:color w:val="333333"/>
          <w:sz w:val="24"/>
          <w:szCs w:val="24"/>
        </w:rPr>
        <w:t xml:space="preserve"> invites the submission of manuscripts in archaeology, public health, history, political science, sociology, anthropology, economics, international relations, criminal justice, social work, psychology, social philosophy, history of education, human/cultural geography, and all social science interdisciplinary fields.</w:t>
      </w:r>
      <w:r w:rsidR="00CF58D7">
        <w:rPr>
          <w:rFonts w:ascii="Garamond" w:hAnsi="Garamond"/>
          <w:color w:val="333333"/>
          <w:sz w:val="24"/>
          <w:szCs w:val="24"/>
        </w:rPr>
        <w:t xml:space="preserve"> Articles are accepted on a rolling basis.</w:t>
      </w:r>
    </w:p>
    <w:p w:rsidR="00F4475D" w:rsidRPr="00F4475D" w:rsidRDefault="00F4475D" w:rsidP="00CD0912">
      <w:pPr>
        <w:rPr>
          <w:rFonts w:ascii="Garamond" w:hAnsi="Garamond"/>
          <w:color w:val="333333"/>
          <w:sz w:val="24"/>
          <w:szCs w:val="24"/>
        </w:rPr>
      </w:pPr>
      <w:r>
        <w:rPr>
          <w:rFonts w:ascii="Garamond" w:hAnsi="Garamond"/>
          <w:color w:val="333333"/>
          <w:sz w:val="24"/>
          <w:szCs w:val="24"/>
        </w:rPr>
        <w:t xml:space="preserve">- Send submissions to the editor of the </w:t>
      </w:r>
      <w:r>
        <w:rPr>
          <w:rFonts w:ascii="Garamond" w:hAnsi="Garamond"/>
          <w:i/>
          <w:color w:val="333333"/>
          <w:sz w:val="24"/>
          <w:szCs w:val="24"/>
        </w:rPr>
        <w:t>ISSR</w:t>
      </w:r>
      <w:r>
        <w:rPr>
          <w:rFonts w:ascii="Garamond" w:hAnsi="Garamond"/>
          <w:color w:val="333333"/>
          <w:sz w:val="24"/>
          <w:szCs w:val="24"/>
        </w:rPr>
        <w:t xml:space="preserve">, Dr. Candice Quinn, as attachments to an email to </w:t>
      </w:r>
      <w:hyperlink r:id="rId6" w:history="1">
        <w:r w:rsidRPr="00782819">
          <w:rPr>
            <w:rStyle w:val="Hyperlink"/>
            <w:rFonts w:ascii="Garamond" w:hAnsi="Garamond"/>
            <w:color w:val="auto"/>
            <w:sz w:val="24"/>
            <w:szCs w:val="24"/>
          </w:rPr>
          <w:t>quinn.issr@gmail.com</w:t>
        </w:r>
      </w:hyperlink>
      <w:r w:rsidRPr="00782819">
        <w:rPr>
          <w:rFonts w:ascii="Garamond" w:hAnsi="Garamond"/>
          <w:sz w:val="24"/>
          <w:szCs w:val="24"/>
        </w:rPr>
        <w:t xml:space="preserve">. </w:t>
      </w:r>
      <w:r>
        <w:rPr>
          <w:rFonts w:ascii="Garamond" w:hAnsi="Garamond"/>
          <w:color w:val="333333"/>
          <w:sz w:val="24"/>
          <w:szCs w:val="24"/>
        </w:rPr>
        <w:t xml:space="preserve"> Please also attach an abbreviated</w:t>
      </w:r>
      <w:r w:rsidR="0055421E">
        <w:rPr>
          <w:rFonts w:ascii="Garamond" w:hAnsi="Garamond"/>
          <w:color w:val="333333"/>
          <w:sz w:val="24"/>
          <w:szCs w:val="24"/>
        </w:rPr>
        <w:t xml:space="preserve"> </w:t>
      </w:r>
      <w:r w:rsidR="005D2C6A">
        <w:rPr>
          <w:rFonts w:ascii="Garamond" w:hAnsi="Garamond"/>
          <w:color w:val="333333"/>
          <w:sz w:val="24"/>
          <w:szCs w:val="24"/>
        </w:rPr>
        <w:t>CV</w:t>
      </w:r>
      <w:r>
        <w:rPr>
          <w:rFonts w:ascii="Garamond" w:hAnsi="Garamond"/>
          <w:color w:val="333333"/>
          <w:sz w:val="24"/>
          <w:szCs w:val="24"/>
        </w:rPr>
        <w:t xml:space="preserve">. </w:t>
      </w:r>
    </w:p>
    <w:p w:rsidR="009C35DD" w:rsidRDefault="002B7564" w:rsidP="00CD0912">
      <w:pPr>
        <w:rPr>
          <w:rFonts w:ascii="Garamond" w:hAnsi="Garamond"/>
          <w:color w:val="333333"/>
          <w:sz w:val="24"/>
          <w:szCs w:val="24"/>
        </w:rPr>
      </w:pPr>
      <w:r w:rsidRPr="00733E4C">
        <w:rPr>
          <w:rFonts w:ascii="Garamond" w:hAnsi="Garamond"/>
          <w:color w:val="333333"/>
          <w:sz w:val="24"/>
          <w:szCs w:val="24"/>
        </w:rPr>
        <w:t xml:space="preserve">- </w:t>
      </w:r>
      <w:r w:rsidR="00733E4C" w:rsidRPr="00733E4C">
        <w:rPr>
          <w:rFonts w:ascii="Garamond" w:hAnsi="Garamond"/>
          <w:color w:val="333333"/>
          <w:sz w:val="24"/>
          <w:szCs w:val="24"/>
        </w:rPr>
        <w:t>Please include your name, email address, title of the article, abstract, and key words on the cover page of your article.  The rest of the paper should have no identifying information.  It should also not contain any headers or footers, including page numbers or running titles.</w:t>
      </w:r>
      <w:r w:rsidR="009346EA">
        <w:rPr>
          <w:rFonts w:ascii="Garamond" w:hAnsi="Garamond"/>
          <w:color w:val="333333"/>
          <w:sz w:val="24"/>
          <w:szCs w:val="24"/>
        </w:rPr>
        <w:t xml:space="preserve"> </w:t>
      </w:r>
    </w:p>
    <w:p w:rsidR="009C35DD" w:rsidRDefault="009C35DD" w:rsidP="00CD0912">
      <w:pPr>
        <w:rPr>
          <w:rFonts w:ascii="Garamond" w:hAnsi="Garamond"/>
          <w:color w:val="333333"/>
          <w:sz w:val="24"/>
          <w:szCs w:val="24"/>
        </w:rPr>
      </w:pPr>
      <w:r>
        <w:rPr>
          <w:rFonts w:ascii="Garamond" w:hAnsi="Garamond"/>
          <w:color w:val="333333"/>
          <w:sz w:val="24"/>
          <w:szCs w:val="24"/>
        </w:rPr>
        <w:t xml:space="preserve">- </w:t>
      </w:r>
      <w:r w:rsidR="009346EA">
        <w:rPr>
          <w:rFonts w:ascii="Garamond" w:hAnsi="Garamond"/>
          <w:color w:val="333333"/>
          <w:sz w:val="24"/>
          <w:szCs w:val="24"/>
        </w:rPr>
        <w:t>The cover page</w:t>
      </w:r>
      <w:r>
        <w:rPr>
          <w:rFonts w:ascii="Garamond" w:hAnsi="Garamond"/>
          <w:color w:val="333333"/>
          <w:sz w:val="24"/>
          <w:szCs w:val="24"/>
        </w:rPr>
        <w:t xml:space="preserve"> (or the body of the email to which the article is attached) must</w:t>
      </w:r>
      <w:r w:rsidR="009346EA">
        <w:rPr>
          <w:rFonts w:ascii="Garamond" w:hAnsi="Garamond"/>
          <w:color w:val="333333"/>
          <w:sz w:val="24"/>
          <w:szCs w:val="24"/>
        </w:rPr>
        <w:t xml:space="preserve"> also include </w:t>
      </w:r>
      <w:r w:rsidR="00F4475D">
        <w:rPr>
          <w:rFonts w:ascii="Garamond" w:hAnsi="Garamond"/>
          <w:color w:val="333333"/>
          <w:sz w:val="24"/>
          <w:szCs w:val="24"/>
        </w:rPr>
        <w:t xml:space="preserve">a version of </w:t>
      </w:r>
      <w:r w:rsidR="009346EA">
        <w:rPr>
          <w:rFonts w:ascii="Garamond" w:hAnsi="Garamond"/>
          <w:color w:val="333333"/>
          <w:sz w:val="24"/>
          <w:szCs w:val="24"/>
        </w:rPr>
        <w:t xml:space="preserve">the following statement (if true): </w:t>
      </w:r>
      <w:r w:rsidR="00F4475D">
        <w:rPr>
          <w:rFonts w:ascii="Garamond" w:hAnsi="Garamond"/>
          <w:color w:val="333333"/>
          <w:sz w:val="24"/>
          <w:szCs w:val="24"/>
        </w:rPr>
        <w:t xml:space="preserve">The paper is an original piece that reflects the research and work of the authors listed.  No portion of this paper was plagiarized.  This paper has not been previously published.  It is not currently under consideration with another journal.  The authors agree not to submit this paper to another journal without first requesting to have it withdrawn from consideration by the </w:t>
      </w:r>
      <w:r w:rsidR="00F4475D">
        <w:rPr>
          <w:rFonts w:ascii="Garamond" w:hAnsi="Garamond"/>
          <w:i/>
          <w:color w:val="333333"/>
          <w:sz w:val="24"/>
          <w:szCs w:val="24"/>
        </w:rPr>
        <w:t>ISSR</w:t>
      </w:r>
      <w:r w:rsidR="00F4475D">
        <w:rPr>
          <w:rFonts w:ascii="Garamond" w:hAnsi="Garamond"/>
          <w:color w:val="333333"/>
          <w:sz w:val="24"/>
          <w:szCs w:val="24"/>
        </w:rPr>
        <w:t xml:space="preserve"> via an email to the editor.</w:t>
      </w:r>
      <w:r>
        <w:rPr>
          <w:rFonts w:ascii="Garamond" w:hAnsi="Garamond"/>
          <w:color w:val="333333"/>
          <w:sz w:val="24"/>
          <w:szCs w:val="24"/>
        </w:rPr>
        <w:t xml:space="preserve"> </w:t>
      </w:r>
    </w:p>
    <w:p w:rsidR="002B7564" w:rsidRDefault="009C35DD" w:rsidP="00CD0912">
      <w:pPr>
        <w:rPr>
          <w:rFonts w:ascii="Garamond" w:hAnsi="Garamond"/>
          <w:color w:val="333333"/>
          <w:sz w:val="24"/>
          <w:szCs w:val="24"/>
        </w:rPr>
      </w:pPr>
      <w:r>
        <w:rPr>
          <w:rFonts w:ascii="Garamond" w:hAnsi="Garamond"/>
          <w:color w:val="333333"/>
          <w:sz w:val="24"/>
          <w:szCs w:val="24"/>
        </w:rPr>
        <w:t xml:space="preserve">- Papers already published in another language or presented as conference papers may be considered with written permission from the original publisher or conference organizer.  These papers will still go through the blind peer review and revision and editing process.  A footnote will recognize that an earlier version of the paper was published / presented elsewhere. </w:t>
      </w:r>
      <w:r w:rsidR="00F4475D">
        <w:rPr>
          <w:rFonts w:ascii="Garamond" w:hAnsi="Garamond"/>
          <w:color w:val="333333"/>
          <w:sz w:val="24"/>
          <w:szCs w:val="24"/>
        </w:rPr>
        <w:t xml:space="preserve"> </w:t>
      </w:r>
      <w:r w:rsidR="009346EA">
        <w:rPr>
          <w:rFonts w:ascii="Garamond" w:hAnsi="Garamond"/>
          <w:color w:val="333333"/>
          <w:sz w:val="24"/>
          <w:szCs w:val="24"/>
        </w:rPr>
        <w:t xml:space="preserve"> </w:t>
      </w:r>
    </w:p>
    <w:p w:rsidR="00733E4C" w:rsidRDefault="00733E4C" w:rsidP="00CD0912">
      <w:pPr>
        <w:rPr>
          <w:rFonts w:ascii="Garamond" w:hAnsi="Garamond"/>
          <w:color w:val="333333"/>
          <w:sz w:val="24"/>
          <w:szCs w:val="24"/>
        </w:rPr>
      </w:pPr>
      <w:r>
        <w:rPr>
          <w:rFonts w:ascii="Garamond" w:hAnsi="Garamond"/>
          <w:color w:val="333333"/>
          <w:sz w:val="24"/>
          <w:szCs w:val="24"/>
        </w:rPr>
        <w:t xml:space="preserve">- Articles attached as Microsoft Word documents are preferred, but those sent as Google Documents will also be accepted. </w:t>
      </w:r>
    </w:p>
    <w:p w:rsidR="00F4475D" w:rsidRPr="00733E4C" w:rsidRDefault="00F4475D" w:rsidP="00CD0912">
      <w:pPr>
        <w:rPr>
          <w:rFonts w:ascii="Garamond" w:hAnsi="Garamond"/>
          <w:color w:val="333333"/>
          <w:sz w:val="24"/>
          <w:szCs w:val="24"/>
        </w:rPr>
      </w:pPr>
      <w:r>
        <w:rPr>
          <w:rFonts w:ascii="Garamond" w:hAnsi="Garamond"/>
          <w:color w:val="333333"/>
          <w:sz w:val="24"/>
          <w:szCs w:val="24"/>
        </w:rPr>
        <w:t>- Papers should aim to be between 15-30 pages in length; if you submission is shorter or longer</w:t>
      </w:r>
      <w:r w:rsidR="00AF4FAD">
        <w:rPr>
          <w:rFonts w:ascii="Garamond" w:hAnsi="Garamond"/>
          <w:color w:val="333333"/>
          <w:sz w:val="24"/>
          <w:szCs w:val="24"/>
        </w:rPr>
        <w:t>,</w:t>
      </w:r>
      <w:r>
        <w:rPr>
          <w:rFonts w:ascii="Garamond" w:hAnsi="Garamond"/>
          <w:color w:val="333333"/>
          <w:sz w:val="24"/>
          <w:szCs w:val="24"/>
        </w:rPr>
        <w:t xml:space="preserve"> double check if that is justifiable. </w:t>
      </w:r>
    </w:p>
    <w:p w:rsidR="00733E4C" w:rsidRDefault="00733E4C" w:rsidP="00CD0912">
      <w:pPr>
        <w:rPr>
          <w:rFonts w:ascii="Garamond" w:hAnsi="Garamond"/>
          <w:i/>
          <w:color w:val="333333"/>
          <w:sz w:val="24"/>
          <w:szCs w:val="24"/>
        </w:rPr>
      </w:pPr>
      <w:r>
        <w:rPr>
          <w:rFonts w:ascii="Garamond" w:hAnsi="Garamond"/>
          <w:i/>
          <w:color w:val="333333"/>
          <w:sz w:val="24"/>
          <w:szCs w:val="24"/>
        </w:rPr>
        <w:t>Formatting  Guidelines</w:t>
      </w:r>
    </w:p>
    <w:p w:rsidR="009346EA" w:rsidRDefault="009346EA" w:rsidP="00782819">
      <w:pPr>
        <w:spacing w:after="0"/>
        <w:rPr>
          <w:rFonts w:ascii="Garamond" w:hAnsi="Garamond"/>
          <w:color w:val="333333"/>
          <w:sz w:val="24"/>
          <w:szCs w:val="24"/>
        </w:rPr>
      </w:pPr>
      <w:r>
        <w:rPr>
          <w:rFonts w:ascii="Garamond" w:hAnsi="Garamond"/>
          <w:i/>
          <w:color w:val="333333"/>
          <w:sz w:val="24"/>
          <w:szCs w:val="24"/>
        </w:rPr>
        <w:t xml:space="preserve">- </w:t>
      </w:r>
      <w:r>
        <w:rPr>
          <w:rFonts w:ascii="Garamond" w:hAnsi="Garamond"/>
          <w:color w:val="333333"/>
          <w:sz w:val="24"/>
          <w:szCs w:val="24"/>
        </w:rPr>
        <w:t>Articles must be double-spaced, utilize 12-point Times New Roman, and the body of the paper should be left justified.</w:t>
      </w:r>
    </w:p>
    <w:p w:rsidR="009346EA" w:rsidRDefault="009346EA" w:rsidP="00782819">
      <w:pPr>
        <w:spacing w:after="0"/>
        <w:rPr>
          <w:rFonts w:ascii="Garamond" w:hAnsi="Garamond"/>
          <w:color w:val="333333"/>
          <w:sz w:val="24"/>
          <w:szCs w:val="24"/>
        </w:rPr>
      </w:pPr>
      <w:r>
        <w:rPr>
          <w:rFonts w:ascii="Garamond" w:hAnsi="Garamond"/>
          <w:color w:val="333333"/>
          <w:sz w:val="24"/>
          <w:szCs w:val="24"/>
        </w:rPr>
        <w:t>- Subheadings may be used and they should also be left justified and written in italics.</w:t>
      </w:r>
      <w:r w:rsidR="00237CC1">
        <w:rPr>
          <w:rFonts w:ascii="Garamond" w:hAnsi="Garamond"/>
          <w:color w:val="333333"/>
          <w:sz w:val="24"/>
          <w:szCs w:val="24"/>
        </w:rPr>
        <w:t xml:space="preserve"> Please do not use sub-subheadings.</w:t>
      </w:r>
    </w:p>
    <w:p w:rsidR="009346EA" w:rsidRPr="009346EA" w:rsidRDefault="009346EA" w:rsidP="00782819">
      <w:pPr>
        <w:spacing w:after="0"/>
        <w:rPr>
          <w:rFonts w:ascii="Garamond" w:hAnsi="Garamond"/>
          <w:color w:val="333333"/>
          <w:sz w:val="24"/>
          <w:szCs w:val="24"/>
        </w:rPr>
      </w:pPr>
      <w:r>
        <w:rPr>
          <w:rFonts w:ascii="Garamond" w:hAnsi="Garamond"/>
          <w:color w:val="333333"/>
          <w:sz w:val="24"/>
          <w:szCs w:val="24"/>
        </w:rPr>
        <w:lastRenderedPageBreak/>
        <w:t xml:space="preserve">- All tables should be in portrait (not landscape) </w:t>
      </w:r>
      <w:r w:rsidR="00F4475D">
        <w:rPr>
          <w:rFonts w:ascii="Garamond" w:hAnsi="Garamond"/>
          <w:color w:val="333333"/>
          <w:sz w:val="24"/>
          <w:szCs w:val="24"/>
        </w:rPr>
        <w:t>and should</w:t>
      </w:r>
      <w:r>
        <w:rPr>
          <w:rFonts w:ascii="Garamond" w:hAnsi="Garamond"/>
          <w:color w:val="333333"/>
          <w:sz w:val="24"/>
          <w:szCs w:val="24"/>
        </w:rPr>
        <w:t xml:space="preserve"> be incorporated into the body of the paper as opposed to placed in an appendix.</w:t>
      </w:r>
    </w:p>
    <w:p w:rsidR="003F6FD4" w:rsidRDefault="002B7564" w:rsidP="00CF58D7">
      <w:pPr>
        <w:spacing w:after="0"/>
        <w:rPr>
          <w:rFonts w:ascii="Garamond" w:hAnsi="Garamond"/>
          <w:color w:val="333333"/>
          <w:sz w:val="24"/>
          <w:szCs w:val="24"/>
        </w:rPr>
      </w:pPr>
      <w:r w:rsidRPr="00733E4C">
        <w:rPr>
          <w:rFonts w:ascii="Garamond" w:hAnsi="Garamond"/>
          <w:color w:val="333333"/>
          <w:sz w:val="24"/>
          <w:szCs w:val="24"/>
        </w:rPr>
        <w:t xml:space="preserve">- </w:t>
      </w:r>
      <w:r w:rsidR="00733E4C">
        <w:rPr>
          <w:rFonts w:ascii="Garamond" w:hAnsi="Garamond"/>
          <w:color w:val="333333"/>
          <w:sz w:val="24"/>
          <w:szCs w:val="24"/>
        </w:rPr>
        <w:t xml:space="preserve">The citation method employed in is the </w:t>
      </w:r>
      <w:r w:rsidR="00733E4C">
        <w:rPr>
          <w:rFonts w:ascii="Garamond" w:hAnsi="Garamond"/>
          <w:i/>
          <w:color w:val="333333"/>
          <w:sz w:val="24"/>
          <w:szCs w:val="24"/>
        </w:rPr>
        <w:t xml:space="preserve">ISSR </w:t>
      </w:r>
      <w:r w:rsidR="00733E4C">
        <w:rPr>
          <w:rFonts w:ascii="Garamond" w:hAnsi="Garamond"/>
          <w:color w:val="333333"/>
          <w:sz w:val="24"/>
          <w:szCs w:val="24"/>
        </w:rPr>
        <w:t>is e</w:t>
      </w:r>
      <w:r w:rsidRPr="00733E4C">
        <w:rPr>
          <w:rFonts w:ascii="Garamond" w:hAnsi="Garamond"/>
          <w:color w:val="333333"/>
          <w:sz w:val="24"/>
          <w:szCs w:val="24"/>
        </w:rPr>
        <w:t>ndnotes</w:t>
      </w:r>
      <w:r w:rsidR="00733E4C">
        <w:rPr>
          <w:rFonts w:ascii="Garamond" w:hAnsi="Garamond"/>
          <w:color w:val="333333"/>
          <w:sz w:val="24"/>
          <w:szCs w:val="24"/>
        </w:rPr>
        <w:t xml:space="preserve"> following the</w:t>
      </w:r>
      <w:r w:rsidRPr="00733E4C">
        <w:rPr>
          <w:rFonts w:ascii="Garamond" w:hAnsi="Garamond"/>
          <w:color w:val="333333"/>
          <w:sz w:val="24"/>
          <w:szCs w:val="24"/>
        </w:rPr>
        <w:t xml:space="preserve"> </w:t>
      </w:r>
      <w:r w:rsidRPr="00733E4C">
        <w:rPr>
          <w:rStyle w:val="Emphasis"/>
          <w:rFonts w:ascii="Garamond" w:hAnsi="Garamond"/>
          <w:color w:val="333333"/>
          <w:sz w:val="24"/>
          <w:szCs w:val="24"/>
        </w:rPr>
        <w:t>Chicago Manual of Style</w:t>
      </w:r>
      <w:r w:rsidR="00733E4C">
        <w:rPr>
          <w:rFonts w:ascii="Garamond" w:hAnsi="Garamond"/>
          <w:color w:val="333333"/>
          <w:sz w:val="24"/>
          <w:szCs w:val="24"/>
        </w:rPr>
        <w:t xml:space="preserve"> (17th ed.).  No bibliography is necessary.  Examples of the CMS endnotes:</w:t>
      </w:r>
    </w:p>
    <w:p w:rsidR="003F6FD4" w:rsidRPr="003F6FD4" w:rsidRDefault="003F6FD4" w:rsidP="00CD0912">
      <w:pPr>
        <w:rPr>
          <w:rFonts w:ascii="Garamond" w:hAnsi="Garamond"/>
          <w:b/>
          <w:color w:val="333333"/>
          <w:sz w:val="24"/>
          <w:szCs w:val="24"/>
        </w:rPr>
      </w:pPr>
      <w:r>
        <w:rPr>
          <w:rFonts w:ascii="Garamond" w:hAnsi="Garamond"/>
          <w:color w:val="333333"/>
          <w:sz w:val="24"/>
          <w:szCs w:val="24"/>
        </w:rPr>
        <w:tab/>
      </w:r>
      <w:r w:rsidR="00733E4C" w:rsidRPr="003F6FD4">
        <w:rPr>
          <w:rFonts w:ascii="Garamond" w:hAnsi="Garamond"/>
          <w:b/>
          <w:color w:val="333333"/>
          <w:sz w:val="24"/>
          <w:szCs w:val="24"/>
        </w:rPr>
        <w:t>Article</w:t>
      </w:r>
      <w:r w:rsidRPr="003F6FD4">
        <w:rPr>
          <w:rFonts w:ascii="Garamond" w:hAnsi="Garamond"/>
          <w:b/>
          <w:color w:val="333333"/>
          <w:sz w:val="24"/>
          <w:szCs w:val="24"/>
        </w:rPr>
        <w:t xml:space="preserve"> (1</w:t>
      </w:r>
      <w:r w:rsidRPr="003F6FD4">
        <w:rPr>
          <w:rFonts w:ascii="Garamond" w:hAnsi="Garamond"/>
          <w:b/>
          <w:color w:val="333333"/>
          <w:sz w:val="24"/>
          <w:szCs w:val="24"/>
          <w:vertAlign w:val="superscript"/>
        </w:rPr>
        <w:t>st</w:t>
      </w:r>
      <w:r w:rsidRPr="003F6FD4">
        <w:rPr>
          <w:rFonts w:ascii="Garamond" w:hAnsi="Garamond"/>
          <w:b/>
          <w:color w:val="333333"/>
          <w:sz w:val="24"/>
          <w:szCs w:val="24"/>
        </w:rPr>
        <w:t xml:space="preserve"> mention)</w:t>
      </w:r>
      <w:r w:rsidR="00733E4C" w:rsidRPr="003F6FD4">
        <w:rPr>
          <w:rFonts w:ascii="Garamond" w:hAnsi="Garamond"/>
          <w:b/>
          <w:color w:val="333333"/>
          <w:sz w:val="24"/>
          <w:szCs w:val="24"/>
        </w:rPr>
        <w:t>:</w:t>
      </w:r>
      <w:r w:rsidR="009C35DD" w:rsidRPr="003F6FD4">
        <w:rPr>
          <w:rFonts w:ascii="Garamond" w:hAnsi="Garamond"/>
          <w:b/>
          <w:color w:val="333333"/>
          <w:sz w:val="24"/>
          <w:szCs w:val="24"/>
        </w:rPr>
        <w:t xml:space="preserve"> </w:t>
      </w:r>
    </w:p>
    <w:p w:rsidR="003F6FD4" w:rsidRDefault="003F6FD4" w:rsidP="00CD0912">
      <w:pPr>
        <w:rPr>
          <w:rFonts w:ascii="Garamond" w:hAnsi="Garamond"/>
          <w:color w:val="333333"/>
          <w:sz w:val="24"/>
          <w:szCs w:val="24"/>
        </w:rPr>
      </w:pPr>
      <w:r>
        <w:rPr>
          <w:rFonts w:ascii="Garamond" w:hAnsi="Garamond"/>
          <w:color w:val="333333"/>
          <w:sz w:val="24"/>
          <w:szCs w:val="24"/>
        </w:rPr>
        <w:t xml:space="preserve">Nicole Eustace, Eugenia Lean, Julie Livingston, Jan </w:t>
      </w:r>
      <w:proofErr w:type="spellStart"/>
      <w:r>
        <w:rPr>
          <w:rFonts w:ascii="Garamond" w:hAnsi="Garamond"/>
          <w:color w:val="333333"/>
          <w:sz w:val="24"/>
          <w:szCs w:val="24"/>
        </w:rPr>
        <w:t>Plamper</w:t>
      </w:r>
      <w:proofErr w:type="spellEnd"/>
      <w:r>
        <w:rPr>
          <w:rFonts w:ascii="Garamond" w:hAnsi="Garamond"/>
          <w:color w:val="333333"/>
          <w:sz w:val="24"/>
          <w:szCs w:val="24"/>
        </w:rPr>
        <w:t xml:space="preserve">, William M. Reddy, and Barbara H. Rosenwein, “Conversations: The Historical Study of Emotions,” </w:t>
      </w:r>
      <w:r>
        <w:rPr>
          <w:rFonts w:ascii="Garamond" w:hAnsi="Garamond"/>
          <w:i/>
          <w:color w:val="333333"/>
          <w:sz w:val="24"/>
          <w:szCs w:val="24"/>
        </w:rPr>
        <w:t xml:space="preserve">American Historical Review </w:t>
      </w:r>
      <w:r>
        <w:rPr>
          <w:rFonts w:ascii="Garamond" w:hAnsi="Garamond"/>
          <w:color w:val="333333"/>
          <w:sz w:val="24"/>
          <w:szCs w:val="24"/>
        </w:rPr>
        <w:t>vol. 117 (December 2012): 1487-1531, 1502.</w:t>
      </w:r>
    </w:p>
    <w:p w:rsidR="003F6FD4" w:rsidRPr="003F6FD4" w:rsidRDefault="003F6FD4" w:rsidP="00CD0912">
      <w:pPr>
        <w:rPr>
          <w:rFonts w:ascii="Garamond" w:hAnsi="Garamond"/>
          <w:b/>
          <w:color w:val="333333"/>
          <w:sz w:val="24"/>
          <w:szCs w:val="24"/>
        </w:rPr>
      </w:pPr>
      <w:r>
        <w:rPr>
          <w:rFonts w:ascii="Garamond" w:hAnsi="Garamond"/>
          <w:color w:val="333333"/>
          <w:sz w:val="24"/>
          <w:szCs w:val="24"/>
        </w:rPr>
        <w:tab/>
      </w:r>
      <w:r w:rsidRPr="003F6FD4">
        <w:rPr>
          <w:rFonts w:ascii="Garamond" w:hAnsi="Garamond"/>
          <w:b/>
          <w:color w:val="333333"/>
          <w:sz w:val="24"/>
          <w:szCs w:val="24"/>
        </w:rPr>
        <w:t>Article (2</w:t>
      </w:r>
      <w:r w:rsidRPr="003F6FD4">
        <w:rPr>
          <w:rFonts w:ascii="Garamond" w:hAnsi="Garamond"/>
          <w:b/>
          <w:color w:val="333333"/>
          <w:sz w:val="24"/>
          <w:szCs w:val="24"/>
          <w:vertAlign w:val="superscript"/>
        </w:rPr>
        <w:t>nd</w:t>
      </w:r>
      <w:r w:rsidRPr="003F6FD4">
        <w:rPr>
          <w:rFonts w:ascii="Garamond" w:hAnsi="Garamond"/>
          <w:b/>
          <w:color w:val="333333"/>
          <w:sz w:val="24"/>
          <w:szCs w:val="24"/>
        </w:rPr>
        <w:t xml:space="preserve"> &amp; subsequent mentions if only one source by those authors):</w:t>
      </w:r>
    </w:p>
    <w:p w:rsidR="00733E4C" w:rsidRDefault="003F6FD4" w:rsidP="00CD0912">
      <w:pPr>
        <w:rPr>
          <w:rFonts w:ascii="Garamond" w:hAnsi="Garamond"/>
          <w:color w:val="333333"/>
          <w:sz w:val="24"/>
          <w:szCs w:val="24"/>
        </w:rPr>
      </w:pPr>
      <w:proofErr w:type="gramStart"/>
      <w:r>
        <w:rPr>
          <w:rFonts w:ascii="Garamond" w:hAnsi="Garamond"/>
          <w:color w:val="333333"/>
          <w:sz w:val="24"/>
          <w:szCs w:val="24"/>
        </w:rPr>
        <w:t xml:space="preserve">Eustace, Lean, Livingston, </w:t>
      </w:r>
      <w:proofErr w:type="spellStart"/>
      <w:r>
        <w:rPr>
          <w:rFonts w:ascii="Garamond" w:hAnsi="Garamond"/>
          <w:color w:val="333333"/>
          <w:sz w:val="24"/>
          <w:szCs w:val="24"/>
        </w:rPr>
        <w:t>Plamper</w:t>
      </w:r>
      <w:proofErr w:type="spellEnd"/>
      <w:r>
        <w:rPr>
          <w:rFonts w:ascii="Garamond" w:hAnsi="Garamond"/>
          <w:color w:val="333333"/>
          <w:sz w:val="24"/>
          <w:szCs w:val="24"/>
        </w:rPr>
        <w:t>, &amp; Rosenwein, 1502.</w:t>
      </w:r>
      <w:proofErr w:type="gramEnd"/>
    </w:p>
    <w:p w:rsidR="003F6FD4" w:rsidRPr="003F6FD4" w:rsidRDefault="003F6FD4" w:rsidP="00CD0912">
      <w:pPr>
        <w:rPr>
          <w:rFonts w:ascii="Garamond" w:hAnsi="Garamond"/>
          <w:b/>
          <w:color w:val="333333"/>
          <w:sz w:val="24"/>
          <w:szCs w:val="24"/>
        </w:rPr>
      </w:pPr>
      <w:r>
        <w:rPr>
          <w:rFonts w:ascii="Garamond" w:hAnsi="Garamond"/>
          <w:color w:val="333333"/>
          <w:sz w:val="24"/>
          <w:szCs w:val="24"/>
        </w:rPr>
        <w:tab/>
      </w:r>
      <w:r w:rsidRPr="003F6FD4">
        <w:rPr>
          <w:rFonts w:ascii="Garamond" w:hAnsi="Garamond"/>
          <w:b/>
          <w:color w:val="333333"/>
          <w:sz w:val="24"/>
          <w:szCs w:val="24"/>
        </w:rPr>
        <w:t>Article (2</w:t>
      </w:r>
      <w:r w:rsidRPr="003F6FD4">
        <w:rPr>
          <w:rFonts w:ascii="Garamond" w:hAnsi="Garamond"/>
          <w:b/>
          <w:color w:val="333333"/>
          <w:sz w:val="24"/>
          <w:szCs w:val="24"/>
          <w:vertAlign w:val="superscript"/>
        </w:rPr>
        <w:t>nd</w:t>
      </w:r>
      <w:r w:rsidRPr="003F6FD4">
        <w:rPr>
          <w:rFonts w:ascii="Garamond" w:hAnsi="Garamond"/>
          <w:b/>
          <w:color w:val="333333"/>
          <w:sz w:val="24"/>
          <w:szCs w:val="24"/>
        </w:rPr>
        <w:t xml:space="preserve"> &amp; subsequent mentions if multiple sources from the same author):</w:t>
      </w:r>
    </w:p>
    <w:p w:rsidR="003F6FD4" w:rsidRPr="003F6FD4" w:rsidRDefault="003F6FD4" w:rsidP="00CD0912">
      <w:pPr>
        <w:rPr>
          <w:rFonts w:ascii="Garamond" w:hAnsi="Garamond"/>
          <w:color w:val="333333"/>
          <w:sz w:val="24"/>
          <w:szCs w:val="24"/>
        </w:rPr>
      </w:pPr>
      <w:proofErr w:type="gramStart"/>
      <w:r>
        <w:rPr>
          <w:rFonts w:ascii="Garamond" w:hAnsi="Garamond"/>
          <w:color w:val="333333"/>
          <w:sz w:val="24"/>
          <w:szCs w:val="24"/>
        </w:rPr>
        <w:t xml:space="preserve">Eustace, Lean, Livingston, </w:t>
      </w:r>
      <w:proofErr w:type="spellStart"/>
      <w:r>
        <w:rPr>
          <w:rFonts w:ascii="Garamond" w:hAnsi="Garamond"/>
          <w:color w:val="333333"/>
          <w:sz w:val="24"/>
          <w:szCs w:val="24"/>
        </w:rPr>
        <w:t>Plamper</w:t>
      </w:r>
      <w:proofErr w:type="spellEnd"/>
      <w:r>
        <w:rPr>
          <w:rFonts w:ascii="Garamond" w:hAnsi="Garamond"/>
          <w:color w:val="333333"/>
          <w:sz w:val="24"/>
          <w:szCs w:val="24"/>
        </w:rPr>
        <w:t>, &amp; Rosenwein, “Conversations,” 1502.</w:t>
      </w:r>
      <w:proofErr w:type="gramEnd"/>
      <w:r>
        <w:rPr>
          <w:rFonts w:ascii="Garamond" w:hAnsi="Garamond"/>
          <w:color w:val="333333"/>
          <w:sz w:val="24"/>
          <w:szCs w:val="24"/>
        </w:rPr>
        <w:tab/>
      </w:r>
    </w:p>
    <w:p w:rsidR="00733E4C" w:rsidRPr="00F83318" w:rsidRDefault="00733E4C" w:rsidP="00CD0912">
      <w:pPr>
        <w:rPr>
          <w:rFonts w:ascii="Garamond" w:hAnsi="Garamond"/>
          <w:b/>
          <w:color w:val="333333"/>
          <w:sz w:val="24"/>
          <w:szCs w:val="24"/>
        </w:rPr>
      </w:pPr>
      <w:r>
        <w:rPr>
          <w:rFonts w:ascii="Garamond" w:hAnsi="Garamond"/>
          <w:color w:val="333333"/>
          <w:sz w:val="24"/>
          <w:szCs w:val="24"/>
        </w:rPr>
        <w:tab/>
      </w:r>
      <w:r w:rsidRPr="00F83318">
        <w:rPr>
          <w:rFonts w:ascii="Garamond" w:hAnsi="Garamond"/>
          <w:b/>
          <w:color w:val="333333"/>
          <w:sz w:val="24"/>
          <w:szCs w:val="24"/>
        </w:rPr>
        <w:t>Book</w:t>
      </w:r>
      <w:r w:rsidR="003F6FD4" w:rsidRPr="00F83318">
        <w:rPr>
          <w:rFonts w:ascii="Garamond" w:hAnsi="Garamond"/>
          <w:b/>
          <w:color w:val="333333"/>
          <w:sz w:val="24"/>
          <w:szCs w:val="24"/>
        </w:rPr>
        <w:t xml:space="preserve"> (1</w:t>
      </w:r>
      <w:r w:rsidR="003F6FD4" w:rsidRPr="00F83318">
        <w:rPr>
          <w:rFonts w:ascii="Garamond" w:hAnsi="Garamond"/>
          <w:b/>
          <w:color w:val="333333"/>
          <w:sz w:val="24"/>
          <w:szCs w:val="24"/>
          <w:vertAlign w:val="superscript"/>
        </w:rPr>
        <w:t>st</w:t>
      </w:r>
      <w:r w:rsidR="003F6FD4" w:rsidRPr="00F83318">
        <w:rPr>
          <w:rFonts w:ascii="Garamond" w:hAnsi="Garamond"/>
          <w:b/>
          <w:color w:val="333333"/>
          <w:sz w:val="24"/>
          <w:szCs w:val="24"/>
        </w:rPr>
        <w:t xml:space="preserve"> mention)</w:t>
      </w:r>
      <w:r w:rsidRPr="00F83318">
        <w:rPr>
          <w:rFonts w:ascii="Garamond" w:hAnsi="Garamond"/>
          <w:b/>
          <w:color w:val="333333"/>
          <w:sz w:val="24"/>
          <w:szCs w:val="24"/>
        </w:rPr>
        <w:t>:</w:t>
      </w:r>
    </w:p>
    <w:p w:rsidR="003F6FD4" w:rsidRPr="003F6FD4" w:rsidRDefault="003F6FD4" w:rsidP="00CD0912">
      <w:pPr>
        <w:rPr>
          <w:rFonts w:ascii="Garamond" w:hAnsi="Garamond"/>
          <w:color w:val="333333"/>
          <w:sz w:val="24"/>
          <w:szCs w:val="24"/>
        </w:rPr>
      </w:pPr>
      <w:r>
        <w:rPr>
          <w:rFonts w:ascii="Garamond" w:hAnsi="Garamond"/>
          <w:color w:val="333333"/>
          <w:sz w:val="24"/>
          <w:szCs w:val="24"/>
        </w:rPr>
        <w:t>E.E. Evans-Pritchard, “</w:t>
      </w:r>
      <w:r>
        <w:rPr>
          <w:rFonts w:ascii="Garamond" w:hAnsi="Garamond"/>
          <w:i/>
          <w:color w:val="333333"/>
          <w:sz w:val="24"/>
          <w:szCs w:val="24"/>
        </w:rPr>
        <w:t>The Nuer: A Description of the Modes of Livelihood and Political Institutions of a Nilotic People</w:t>
      </w:r>
      <w:r>
        <w:rPr>
          <w:rFonts w:ascii="Garamond" w:hAnsi="Garamond"/>
          <w:color w:val="333333"/>
          <w:sz w:val="24"/>
          <w:szCs w:val="24"/>
        </w:rPr>
        <w:t xml:space="preserve"> (Oxford: Oxford University Press, 1940), 37. </w:t>
      </w:r>
    </w:p>
    <w:p w:rsidR="002B7564" w:rsidRDefault="00F83318" w:rsidP="00CD0912">
      <w:pPr>
        <w:rPr>
          <w:rFonts w:ascii="Garamond" w:hAnsi="Garamond"/>
          <w:b/>
          <w:color w:val="333333"/>
          <w:sz w:val="24"/>
          <w:szCs w:val="24"/>
        </w:rPr>
      </w:pPr>
      <w:r>
        <w:rPr>
          <w:rFonts w:ascii="Garamond" w:hAnsi="Garamond"/>
          <w:color w:val="333333"/>
          <w:sz w:val="24"/>
          <w:szCs w:val="24"/>
        </w:rPr>
        <w:tab/>
      </w:r>
      <w:r>
        <w:rPr>
          <w:rFonts w:ascii="Garamond" w:hAnsi="Garamond"/>
          <w:b/>
          <w:color w:val="333333"/>
          <w:sz w:val="24"/>
          <w:szCs w:val="24"/>
        </w:rPr>
        <w:t>Book (2</w:t>
      </w:r>
      <w:r w:rsidRPr="00F83318">
        <w:rPr>
          <w:rFonts w:ascii="Garamond" w:hAnsi="Garamond"/>
          <w:b/>
          <w:color w:val="333333"/>
          <w:sz w:val="24"/>
          <w:szCs w:val="24"/>
          <w:vertAlign w:val="superscript"/>
        </w:rPr>
        <w:t>nd</w:t>
      </w:r>
      <w:r>
        <w:rPr>
          <w:rFonts w:ascii="Garamond" w:hAnsi="Garamond"/>
          <w:b/>
          <w:color w:val="333333"/>
          <w:sz w:val="24"/>
          <w:szCs w:val="24"/>
        </w:rPr>
        <w:t xml:space="preserve"> &amp; subsequent mentions if only one source by author):</w:t>
      </w:r>
    </w:p>
    <w:p w:rsidR="00F83318" w:rsidRDefault="00F83318" w:rsidP="00CD0912">
      <w:pPr>
        <w:rPr>
          <w:rFonts w:ascii="Garamond" w:hAnsi="Garamond"/>
          <w:color w:val="333333"/>
          <w:sz w:val="24"/>
          <w:szCs w:val="24"/>
        </w:rPr>
      </w:pPr>
      <w:proofErr w:type="gramStart"/>
      <w:r>
        <w:rPr>
          <w:rFonts w:ascii="Garamond" w:hAnsi="Garamond"/>
          <w:color w:val="333333"/>
          <w:sz w:val="24"/>
          <w:szCs w:val="24"/>
        </w:rPr>
        <w:t>Evans-Pritchard, 37.</w:t>
      </w:r>
      <w:proofErr w:type="gramEnd"/>
    </w:p>
    <w:p w:rsidR="00F83318" w:rsidRDefault="00F83318" w:rsidP="00CD0912">
      <w:pPr>
        <w:rPr>
          <w:rFonts w:ascii="Garamond" w:hAnsi="Garamond"/>
          <w:b/>
          <w:color w:val="333333"/>
          <w:sz w:val="24"/>
          <w:szCs w:val="24"/>
        </w:rPr>
      </w:pPr>
      <w:r>
        <w:rPr>
          <w:rFonts w:ascii="Garamond" w:hAnsi="Garamond"/>
          <w:color w:val="333333"/>
          <w:sz w:val="24"/>
          <w:szCs w:val="24"/>
        </w:rPr>
        <w:tab/>
      </w:r>
      <w:r>
        <w:rPr>
          <w:rFonts w:ascii="Garamond" w:hAnsi="Garamond"/>
          <w:b/>
          <w:color w:val="333333"/>
          <w:sz w:val="24"/>
          <w:szCs w:val="24"/>
        </w:rPr>
        <w:t>Book (2</w:t>
      </w:r>
      <w:r w:rsidRPr="00F83318">
        <w:rPr>
          <w:rFonts w:ascii="Garamond" w:hAnsi="Garamond"/>
          <w:b/>
          <w:color w:val="333333"/>
          <w:sz w:val="24"/>
          <w:szCs w:val="24"/>
          <w:vertAlign w:val="superscript"/>
        </w:rPr>
        <w:t>nd</w:t>
      </w:r>
      <w:r>
        <w:rPr>
          <w:rFonts w:ascii="Garamond" w:hAnsi="Garamond"/>
          <w:b/>
          <w:color w:val="333333"/>
          <w:sz w:val="24"/>
          <w:szCs w:val="24"/>
        </w:rPr>
        <w:t xml:space="preserve"> &amp; subsequent mentions if multiple sources from the same author):</w:t>
      </w:r>
    </w:p>
    <w:p w:rsidR="00F83318" w:rsidRDefault="00F83318" w:rsidP="00CD0912">
      <w:pPr>
        <w:rPr>
          <w:rFonts w:ascii="Garamond" w:hAnsi="Garamond"/>
          <w:color w:val="333333"/>
          <w:sz w:val="24"/>
          <w:szCs w:val="24"/>
        </w:rPr>
      </w:pPr>
      <w:r>
        <w:rPr>
          <w:rFonts w:ascii="Garamond" w:hAnsi="Garamond"/>
          <w:color w:val="333333"/>
          <w:sz w:val="24"/>
          <w:szCs w:val="24"/>
        </w:rPr>
        <w:t xml:space="preserve">Evans-Pritchard, </w:t>
      </w:r>
      <w:proofErr w:type="gramStart"/>
      <w:r>
        <w:rPr>
          <w:rFonts w:ascii="Garamond" w:hAnsi="Garamond"/>
          <w:i/>
          <w:color w:val="333333"/>
          <w:sz w:val="24"/>
          <w:szCs w:val="24"/>
        </w:rPr>
        <w:t>The</w:t>
      </w:r>
      <w:proofErr w:type="gramEnd"/>
      <w:r>
        <w:rPr>
          <w:rFonts w:ascii="Garamond" w:hAnsi="Garamond"/>
          <w:i/>
          <w:color w:val="333333"/>
          <w:sz w:val="24"/>
          <w:szCs w:val="24"/>
        </w:rPr>
        <w:t xml:space="preserve"> Nuer</w:t>
      </w:r>
      <w:r>
        <w:rPr>
          <w:rFonts w:ascii="Garamond" w:hAnsi="Garamond"/>
          <w:color w:val="333333"/>
          <w:sz w:val="24"/>
          <w:szCs w:val="24"/>
        </w:rPr>
        <w:t xml:space="preserve">, 37. </w:t>
      </w:r>
    </w:p>
    <w:p w:rsidR="00F83318" w:rsidRDefault="00F83318" w:rsidP="00CD0912">
      <w:pPr>
        <w:rPr>
          <w:rFonts w:ascii="Garamond" w:hAnsi="Garamond"/>
          <w:b/>
          <w:color w:val="333333"/>
          <w:sz w:val="24"/>
          <w:szCs w:val="24"/>
        </w:rPr>
      </w:pPr>
      <w:r>
        <w:rPr>
          <w:rFonts w:ascii="Garamond" w:hAnsi="Garamond"/>
          <w:color w:val="333333"/>
          <w:sz w:val="24"/>
          <w:szCs w:val="24"/>
        </w:rPr>
        <w:tab/>
      </w:r>
      <w:r>
        <w:rPr>
          <w:rFonts w:ascii="Garamond" w:hAnsi="Garamond"/>
          <w:b/>
          <w:color w:val="333333"/>
          <w:sz w:val="24"/>
          <w:szCs w:val="24"/>
        </w:rPr>
        <w:t>Chapter of a Book:</w:t>
      </w:r>
    </w:p>
    <w:p w:rsidR="00F83318" w:rsidRDefault="00F83318" w:rsidP="00CD0912">
      <w:pPr>
        <w:rPr>
          <w:rFonts w:ascii="Garamond" w:hAnsi="Garamond"/>
          <w:color w:val="333333"/>
          <w:sz w:val="24"/>
          <w:szCs w:val="24"/>
        </w:rPr>
      </w:pPr>
      <w:r>
        <w:rPr>
          <w:rFonts w:ascii="Garamond" w:hAnsi="Garamond"/>
          <w:color w:val="333333"/>
          <w:sz w:val="24"/>
          <w:szCs w:val="24"/>
        </w:rPr>
        <w:t>Ruth A. Miller, “</w:t>
      </w:r>
      <w:proofErr w:type="spellStart"/>
      <w:r>
        <w:rPr>
          <w:rFonts w:ascii="Garamond" w:hAnsi="Garamond"/>
          <w:color w:val="333333"/>
          <w:sz w:val="24"/>
          <w:szCs w:val="24"/>
        </w:rPr>
        <w:t>Posthuman</w:t>
      </w:r>
      <w:proofErr w:type="spellEnd"/>
      <w:r>
        <w:rPr>
          <w:rFonts w:ascii="Garamond" w:hAnsi="Garamond"/>
          <w:color w:val="333333"/>
          <w:sz w:val="24"/>
          <w:szCs w:val="24"/>
        </w:rPr>
        <w:t xml:space="preserve">,” in </w:t>
      </w:r>
      <w:r>
        <w:rPr>
          <w:rFonts w:ascii="Garamond" w:hAnsi="Garamond"/>
          <w:i/>
          <w:color w:val="333333"/>
          <w:sz w:val="24"/>
          <w:szCs w:val="24"/>
        </w:rPr>
        <w:t>Critical Terms for the Study of Gender</w:t>
      </w:r>
      <w:r>
        <w:rPr>
          <w:rFonts w:ascii="Garamond" w:hAnsi="Garamond"/>
          <w:color w:val="333333"/>
          <w:sz w:val="24"/>
          <w:szCs w:val="24"/>
        </w:rPr>
        <w:t xml:space="preserve">, ed. Catharine R. </w:t>
      </w:r>
      <w:proofErr w:type="spellStart"/>
      <w:r>
        <w:rPr>
          <w:rFonts w:ascii="Garamond" w:hAnsi="Garamond"/>
          <w:color w:val="333333"/>
          <w:sz w:val="24"/>
          <w:szCs w:val="24"/>
        </w:rPr>
        <w:t>Stimpson</w:t>
      </w:r>
      <w:proofErr w:type="spellEnd"/>
      <w:r>
        <w:rPr>
          <w:rFonts w:ascii="Garamond" w:hAnsi="Garamond"/>
          <w:color w:val="333333"/>
          <w:sz w:val="24"/>
          <w:szCs w:val="24"/>
        </w:rPr>
        <w:t xml:space="preserve"> and Gilbert </w:t>
      </w:r>
      <w:proofErr w:type="spellStart"/>
      <w:r>
        <w:rPr>
          <w:rFonts w:ascii="Garamond" w:hAnsi="Garamond"/>
          <w:color w:val="333333"/>
          <w:sz w:val="24"/>
          <w:szCs w:val="24"/>
        </w:rPr>
        <w:t>Herdt</w:t>
      </w:r>
      <w:proofErr w:type="spellEnd"/>
      <w:r>
        <w:rPr>
          <w:rFonts w:ascii="Garamond" w:hAnsi="Garamond"/>
          <w:color w:val="333333"/>
          <w:sz w:val="24"/>
          <w:szCs w:val="24"/>
        </w:rPr>
        <w:t xml:space="preserve"> (Chicago: University of Chicago Press, 2014), 325. </w:t>
      </w:r>
    </w:p>
    <w:p w:rsidR="00F83318" w:rsidRDefault="00F83318" w:rsidP="00CD0912">
      <w:pPr>
        <w:rPr>
          <w:rFonts w:ascii="Garamond" w:hAnsi="Garamond"/>
          <w:b/>
          <w:color w:val="333333"/>
          <w:sz w:val="24"/>
          <w:szCs w:val="24"/>
        </w:rPr>
      </w:pPr>
      <w:r>
        <w:rPr>
          <w:rFonts w:ascii="Garamond" w:hAnsi="Garamond"/>
          <w:color w:val="333333"/>
          <w:sz w:val="24"/>
          <w:szCs w:val="24"/>
        </w:rPr>
        <w:tab/>
      </w:r>
      <w:r>
        <w:rPr>
          <w:rFonts w:ascii="Garamond" w:hAnsi="Garamond"/>
          <w:b/>
          <w:color w:val="333333"/>
          <w:sz w:val="24"/>
          <w:szCs w:val="24"/>
        </w:rPr>
        <w:t>Newspaper Article:</w:t>
      </w:r>
    </w:p>
    <w:p w:rsidR="00F83318" w:rsidRDefault="00F83318" w:rsidP="00CD0912">
      <w:pPr>
        <w:rPr>
          <w:rFonts w:ascii="Garamond" w:hAnsi="Garamond"/>
          <w:color w:val="333333"/>
          <w:sz w:val="24"/>
          <w:szCs w:val="24"/>
        </w:rPr>
      </w:pPr>
      <w:proofErr w:type="gramStart"/>
      <w:r>
        <w:rPr>
          <w:rFonts w:ascii="Garamond" w:hAnsi="Garamond"/>
          <w:color w:val="333333"/>
          <w:sz w:val="24"/>
          <w:szCs w:val="24"/>
        </w:rPr>
        <w:t xml:space="preserve">Mike </w:t>
      </w:r>
      <w:proofErr w:type="spellStart"/>
      <w:r>
        <w:rPr>
          <w:rFonts w:ascii="Garamond" w:hAnsi="Garamond"/>
          <w:color w:val="333333"/>
          <w:sz w:val="24"/>
          <w:szCs w:val="24"/>
        </w:rPr>
        <w:t>Royko</w:t>
      </w:r>
      <w:proofErr w:type="spellEnd"/>
      <w:r>
        <w:rPr>
          <w:rFonts w:ascii="Garamond" w:hAnsi="Garamond"/>
          <w:color w:val="333333"/>
          <w:sz w:val="24"/>
          <w:szCs w:val="24"/>
        </w:rPr>
        <w:t xml:space="preserve">, “Next time, Dan, Take Aim at Arnold,” </w:t>
      </w:r>
      <w:r>
        <w:rPr>
          <w:rFonts w:ascii="Garamond" w:hAnsi="Garamond"/>
          <w:i/>
          <w:color w:val="333333"/>
          <w:sz w:val="24"/>
          <w:szCs w:val="24"/>
        </w:rPr>
        <w:t>Chicago Tribune</w:t>
      </w:r>
      <w:r>
        <w:rPr>
          <w:rFonts w:ascii="Garamond" w:hAnsi="Garamond"/>
          <w:color w:val="333333"/>
          <w:sz w:val="24"/>
          <w:szCs w:val="24"/>
        </w:rPr>
        <w:t>, September 23, 1992.</w:t>
      </w:r>
      <w:proofErr w:type="gramEnd"/>
    </w:p>
    <w:p w:rsidR="005A2E1C" w:rsidRDefault="005A2E1C" w:rsidP="00CD0912">
      <w:pPr>
        <w:rPr>
          <w:rFonts w:ascii="Garamond" w:hAnsi="Garamond"/>
          <w:b/>
          <w:color w:val="333333"/>
          <w:sz w:val="24"/>
          <w:szCs w:val="24"/>
        </w:rPr>
      </w:pPr>
      <w:r>
        <w:rPr>
          <w:rFonts w:ascii="Garamond" w:hAnsi="Garamond"/>
          <w:color w:val="333333"/>
          <w:sz w:val="24"/>
          <w:szCs w:val="24"/>
        </w:rPr>
        <w:tab/>
      </w:r>
      <w:r>
        <w:rPr>
          <w:rFonts w:ascii="Garamond" w:hAnsi="Garamond"/>
          <w:b/>
          <w:color w:val="333333"/>
          <w:sz w:val="24"/>
          <w:szCs w:val="24"/>
        </w:rPr>
        <w:t>Website:</w:t>
      </w:r>
    </w:p>
    <w:p w:rsidR="005A2E1C" w:rsidRPr="005A2E1C" w:rsidRDefault="005A2E1C" w:rsidP="00CD0912">
      <w:pPr>
        <w:rPr>
          <w:rFonts w:ascii="Garamond" w:hAnsi="Garamond"/>
          <w:color w:val="333333"/>
          <w:sz w:val="24"/>
          <w:szCs w:val="24"/>
        </w:rPr>
      </w:pPr>
      <w:r>
        <w:rPr>
          <w:rFonts w:ascii="Garamond" w:hAnsi="Garamond"/>
          <w:color w:val="333333"/>
          <w:sz w:val="24"/>
          <w:szCs w:val="24"/>
        </w:rPr>
        <w:t>“Apps for Office Sample Pack,” Office Dev Center, Microsoft Corporation, updated October 20, 2015, https://code.msdn.microsoft.com/office/Apps-for-Office-code-do4662b7.*</w:t>
      </w:r>
    </w:p>
    <w:p w:rsidR="005A2E1C" w:rsidRDefault="005A2E1C" w:rsidP="00CD0912">
      <w:pPr>
        <w:rPr>
          <w:rFonts w:ascii="Garamond" w:hAnsi="Garamond"/>
          <w:color w:val="333333"/>
          <w:sz w:val="24"/>
          <w:szCs w:val="24"/>
        </w:rPr>
      </w:pPr>
    </w:p>
    <w:p w:rsidR="005A2E1C" w:rsidRDefault="00CF58D7" w:rsidP="00CF58D7">
      <w:pPr>
        <w:jc w:val="right"/>
        <w:rPr>
          <w:rFonts w:ascii="Garamond" w:hAnsi="Garamond"/>
          <w:color w:val="333333"/>
          <w:sz w:val="24"/>
          <w:szCs w:val="24"/>
        </w:rPr>
      </w:pPr>
      <w:r>
        <w:rPr>
          <w:rFonts w:ascii="Garamond" w:hAnsi="Garamond"/>
          <w:color w:val="333333"/>
          <w:sz w:val="24"/>
          <w:szCs w:val="24"/>
        </w:rPr>
        <w:t>*</w:t>
      </w:r>
      <w:r w:rsidR="005A2E1C">
        <w:rPr>
          <w:rFonts w:ascii="Garamond" w:hAnsi="Garamond"/>
          <w:color w:val="333333"/>
          <w:sz w:val="24"/>
          <w:szCs w:val="24"/>
        </w:rPr>
        <w:t>Citation examples taken from the 17</w:t>
      </w:r>
      <w:r w:rsidR="005A2E1C" w:rsidRPr="005A2E1C">
        <w:rPr>
          <w:rFonts w:ascii="Garamond" w:hAnsi="Garamond"/>
          <w:color w:val="333333"/>
          <w:sz w:val="24"/>
          <w:szCs w:val="24"/>
          <w:vertAlign w:val="superscript"/>
        </w:rPr>
        <w:t>th</w:t>
      </w:r>
      <w:r w:rsidR="005A2E1C">
        <w:rPr>
          <w:rFonts w:ascii="Garamond" w:hAnsi="Garamond"/>
          <w:color w:val="333333"/>
          <w:sz w:val="24"/>
          <w:szCs w:val="24"/>
        </w:rPr>
        <w:t xml:space="preserve"> edition of </w:t>
      </w:r>
      <w:r w:rsidR="005A2E1C" w:rsidRPr="005A2E1C">
        <w:rPr>
          <w:rFonts w:ascii="Garamond" w:hAnsi="Garamond"/>
          <w:i/>
          <w:color w:val="333333"/>
          <w:sz w:val="24"/>
          <w:szCs w:val="24"/>
        </w:rPr>
        <w:t>The Chicago Manual of Style</w:t>
      </w:r>
      <w:r w:rsidR="005A2E1C">
        <w:rPr>
          <w:rFonts w:ascii="Garamond" w:hAnsi="Garamond"/>
          <w:color w:val="333333"/>
          <w:sz w:val="24"/>
          <w:szCs w:val="24"/>
        </w:rPr>
        <w:t xml:space="preserve">. </w:t>
      </w:r>
    </w:p>
    <w:p w:rsidR="003F6FD4" w:rsidRDefault="003F6FD4" w:rsidP="00CD0912">
      <w:pPr>
        <w:rPr>
          <w:rFonts w:ascii="Garamond" w:hAnsi="Garamond"/>
          <w:color w:val="333333"/>
          <w:sz w:val="24"/>
          <w:szCs w:val="24"/>
        </w:rPr>
      </w:pPr>
      <w:r>
        <w:rPr>
          <w:rFonts w:ascii="Garamond" w:hAnsi="Garamond"/>
          <w:color w:val="333333"/>
          <w:sz w:val="24"/>
          <w:szCs w:val="24"/>
        </w:rPr>
        <w:lastRenderedPageBreak/>
        <w:t>- Several citations can be included in one endnote; simply separate them with a “;” and the “&amp;”</w:t>
      </w:r>
      <w:r w:rsidR="00CF58D7">
        <w:rPr>
          <w:rFonts w:ascii="Garamond" w:hAnsi="Garamond"/>
          <w:color w:val="333333"/>
          <w:sz w:val="24"/>
          <w:szCs w:val="24"/>
        </w:rPr>
        <w:t xml:space="preserve"> </w:t>
      </w:r>
      <w:r>
        <w:rPr>
          <w:rFonts w:ascii="Garamond" w:hAnsi="Garamond"/>
          <w:color w:val="333333"/>
          <w:sz w:val="24"/>
          <w:szCs w:val="24"/>
        </w:rPr>
        <w:t xml:space="preserve">before the last </w:t>
      </w:r>
      <w:r w:rsidR="00F83318">
        <w:rPr>
          <w:rFonts w:ascii="Garamond" w:hAnsi="Garamond"/>
          <w:color w:val="333333"/>
          <w:sz w:val="24"/>
          <w:szCs w:val="24"/>
        </w:rPr>
        <w:t>source.</w:t>
      </w:r>
    </w:p>
    <w:p w:rsidR="00F01CAA" w:rsidRPr="00F01CAA" w:rsidRDefault="00F01CAA" w:rsidP="00CD0912">
      <w:pPr>
        <w:rPr>
          <w:rFonts w:ascii="Garamond" w:hAnsi="Garamond"/>
          <w:color w:val="333333"/>
          <w:sz w:val="24"/>
          <w:szCs w:val="24"/>
        </w:rPr>
      </w:pPr>
      <w:r>
        <w:rPr>
          <w:rFonts w:ascii="Garamond" w:hAnsi="Garamond"/>
          <w:color w:val="333333"/>
          <w:sz w:val="24"/>
          <w:szCs w:val="24"/>
        </w:rPr>
        <w:t>- When creating your endnotes, please utilize your word processors’ endnote function as opposed to manually creating superscript numbers.  This facilitates the editing process and keeps the endnotes matched to the proper statements.</w:t>
      </w:r>
    </w:p>
    <w:p w:rsidR="002B7564" w:rsidRPr="00733E4C" w:rsidRDefault="009346EA" w:rsidP="00CD0912">
      <w:pPr>
        <w:rPr>
          <w:rFonts w:ascii="Garamond" w:hAnsi="Garamond"/>
          <w:i/>
          <w:color w:val="333333"/>
          <w:sz w:val="24"/>
          <w:szCs w:val="24"/>
        </w:rPr>
      </w:pPr>
      <w:r>
        <w:rPr>
          <w:rFonts w:ascii="Garamond" w:hAnsi="Garamond"/>
          <w:i/>
          <w:color w:val="333333"/>
          <w:sz w:val="24"/>
          <w:szCs w:val="24"/>
        </w:rPr>
        <w:t>General writing style t</w:t>
      </w:r>
      <w:r w:rsidR="002B7564" w:rsidRPr="00733E4C">
        <w:rPr>
          <w:rFonts w:ascii="Garamond" w:hAnsi="Garamond"/>
          <w:i/>
          <w:color w:val="333333"/>
          <w:sz w:val="24"/>
          <w:szCs w:val="24"/>
        </w:rPr>
        <w:t>ips:</w:t>
      </w:r>
    </w:p>
    <w:p w:rsidR="00782819" w:rsidRDefault="009346EA" w:rsidP="00782819">
      <w:pPr>
        <w:spacing w:after="0" w:line="240" w:lineRule="auto"/>
        <w:rPr>
          <w:rFonts w:ascii="Garamond" w:hAnsi="Garamond"/>
          <w:color w:val="333333"/>
          <w:sz w:val="24"/>
          <w:szCs w:val="24"/>
        </w:rPr>
      </w:pPr>
      <w:r>
        <w:rPr>
          <w:rFonts w:ascii="Garamond" w:hAnsi="Garamond"/>
          <w:color w:val="333333"/>
          <w:sz w:val="24"/>
          <w:szCs w:val="24"/>
        </w:rPr>
        <w:t xml:space="preserve">-Use inclusive language that is respectful of all people. </w:t>
      </w:r>
    </w:p>
    <w:p w:rsidR="00CF58D7" w:rsidRDefault="00CF58D7" w:rsidP="00782819">
      <w:pPr>
        <w:spacing w:after="0" w:line="240" w:lineRule="auto"/>
        <w:rPr>
          <w:rFonts w:ascii="Garamond" w:hAnsi="Garamond"/>
          <w:color w:val="333333"/>
          <w:sz w:val="24"/>
          <w:szCs w:val="24"/>
        </w:rPr>
      </w:pPr>
    </w:p>
    <w:p w:rsidR="002B7564" w:rsidRPr="00733E4C" w:rsidRDefault="002B7564" w:rsidP="00782819">
      <w:pPr>
        <w:spacing w:after="0" w:line="240" w:lineRule="auto"/>
        <w:rPr>
          <w:rFonts w:ascii="Garamond" w:hAnsi="Garamond"/>
          <w:color w:val="333333"/>
          <w:sz w:val="24"/>
          <w:szCs w:val="24"/>
        </w:rPr>
      </w:pPr>
      <w:r w:rsidRPr="00733E4C">
        <w:rPr>
          <w:rFonts w:ascii="Garamond" w:hAnsi="Garamond"/>
          <w:color w:val="333333"/>
          <w:sz w:val="24"/>
          <w:szCs w:val="24"/>
        </w:rPr>
        <w:t xml:space="preserve">- The oxford comma is alive and well in the </w:t>
      </w:r>
      <w:r w:rsidRPr="00733E4C">
        <w:rPr>
          <w:rFonts w:ascii="Garamond" w:hAnsi="Garamond"/>
          <w:i/>
          <w:color w:val="333333"/>
          <w:sz w:val="24"/>
          <w:szCs w:val="24"/>
        </w:rPr>
        <w:t>ISSR</w:t>
      </w:r>
      <w:r w:rsidRPr="00733E4C">
        <w:rPr>
          <w:rFonts w:ascii="Garamond" w:hAnsi="Garamond"/>
          <w:color w:val="333333"/>
          <w:sz w:val="24"/>
          <w:szCs w:val="24"/>
        </w:rPr>
        <w:t>, please utilize it.</w:t>
      </w:r>
    </w:p>
    <w:p w:rsidR="00CF58D7" w:rsidRDefault="00CF58D7" w:rsidP="00782819">
      <w:pPr>
        <w:spacing w:after="0" w:line="240" w:lineRule="auto"/>
        <w:rPr>
          <w:rFonts w:ascii="Garamond" w:hAnsi="Garamond"/>
          <w:color w:val="333333"/>
          <w:sz w:val="24"/>
          <w:szCs w:val="24"/>
        </w:rPr>
      </w:pPr>
    </w:p>
    <w:p w:rsidR="00F4475D" w:rsidRPr="00733E4C" w:rsidRDefault="002B7564" w:rsidP="00782819">
      <w:pPr>
        <w:spacing w:after="0" w:line="240" w:lineRule="auto"/>
        <w:rPr>
          <w:rFonts w:ascii="Garamond" w:hAnsi="Garamond"/>
          <w:color w:val="333333"/>
          <w:sz w:val="24"/>
          <w:szCs w:val="24"/>
        </w:rPr>
      </w:pPr>
      <w:r w:rsidRPr="00733E4C">
        <w:rPr>
          <w:rFonts w:ascii="Garamond" w:hAnsi="Garamond"/>
          <w:color w:val="333333"/>
          <w:sz w:val="24"/>
          <w:szCs w:val="24"/>
        </w:rPr>
        <w:t>- Please use personal pronouns sparingly and only if they great</w:t>
      </w:r>
      <w:r w:rsidR="00237CC1">
        <w:rPr>
          <w:rFonts w:ascii="Garamond" w:hAnsi="Garamond"/>
          <w:color w:val="333333"/>
          <w:sz w:val="24"/>
          <w:szCs w:val="24"/>
        </w:rPr>
        <w:t>ly</w:t>
      </w:r>
      <w:r w:rsidRPr="00733E4C">
        <w:rPr>
          <w:rFonts w:ascii="Garamond" w:hAnsi="Garamond"/>
          <w:color w:val="333333"/>
          <w:sz w:val="24"/>
          <w:szCs w:val="24"/>
        </w:rPr>
        <w:t xml:space="preserve"> enhance your argument.</w:t>
      </w:r>
    </w:p>
    <w:p w:rsidR="00CF58D7" w:rsidRDefault="00CF58D7" w:rsidP="00782819">
      <w:pPr>
        <w:spacing w:after="0" w:line="240" w:lineRule="auto"/>
        <w:rPr>
          <w:rFonts w:ascii="Garamond" w:hAnsi="Garamond"/>
          <w:color w:val="333333"/>
          <w:sz w:val="24"/>
          <w:szCs w:val="24"/>
        </w:rPr>
      </w:pPr>
    </w:p>
    <w:p w:rsidR="00733E4C" w:rsidRPr="00733E4C" w:rsidRDefault="00733E4C" w:rsidP="00782819">
      <w:pPr>
        <w:spacing w:after="0" w:line="240" w:lineRule="auto"/>
        <w:rPr>
          <w:rFonts w:ascii="Garamond" w:hAnsi="Garamond"/>
          <w:color w:val="333333"/>
          <w:sz w:val="24"/>
          <w:szCs w:val="24"/>
        </w:rPr>
      </w:pPr>
      <w:r w:rsidRPr="00733E4C">
        <w:rPr>
          <w:rFonts w:ascii="Garamond" w:hAnsi="Garamond"/>
          <w:color w:val="333333"/>
          <w:sz w:val="24"/>
          <w:szCs w:val="24"/>
        </w:rPr>
        <w:t>- Avoid using the passive voice.</w:t>
      </w:r>
    </w:p>
    <w:p w:rsidR="00CF58D7" w:rsidRDefault="00CF58D7" w:rsidP="00782819">
      <w:pPr>
        <w:spacing w:after="0" w:line="240" w:lineRule="auto"/>
        <w:rPr>
          <w:rFonts w:ascii="Garamond" w:hAnsi="Garamond"/>
          <w:color w:val="333333"/>
          <w:sz w:val="24"/>
          <w:szCs w:val="24"/>
        </w:rPr>
      </w:pPr>
    </w:p>
    <w:p w:rsidR="00733E4C" w:rsidRDefault="00733E4C" w:rsidP="00782819">
      <w:pPr>
        <w:spacing w:after="0" w:line="240" w:lineRule="auto"/>
        <w:rPr>
          <w:rFonts w:ascii="Garamond" w:hAnsi="Garamond"/>
          <w:color w:val="333333"/>
          <w:sz w:val="24"/>
          <w:szCs w:val="24"/>
        </w:rPr>
      </w:pPr>
      <w:r w:rsidRPr="00733E4C">
        <w:rPr>
          <w:rFonts w:ascii="Garamond" w:hAnsi="Garamond"/>
          <w:color w:val="333333"/>
          <w:sz w:val="24"/>
          <w:szCs w:val="24"/>
        </w:rPr>
        <w:t xml:space="preserve">- Avoid contractions outside of quotes. </w:t>
      </w:r>
    </w:p>
    <w:p w:rsidR="00CF58D7" w:rsidRDefault="00CF58D7" w:rsidP="00782819">
      <w:pPr>
        <w:spacing w:after="0" w:line="240" w:lineRule="auto"/>
        <w:rPr>
          <w:rFonts w:ascii="Garamond" w:hAnsi="Garamond"/>
          <w:color w:val="333333"/>
          <w:sz w:val="24"/>
          <w:szCs w:val="24"/>
        </w:rPr>
      </w:pPr>
    </w:p>
    <w:p w:rsidR="00F01CAA" w:rsidRDefault="00F01CAA" w:rsidP="00782819">
      <w:pPr>
        <w:spacing w:after="0" w:line="240" w:lineRule="auto"/>
        <w:rPr>
          <w:rFonts w:ascii="Garamond" w:hAnsi="Garamond"/>
          <w:color w:val="333333"/>
          <w:sz w:val="24"/>
          <w:szCs w:val="24"/>
        </w:rPr>
      </w:pPr>
      <w:r>
        <w:rPr>
          <w:rFonts w:ascii="Garamond" w:hAnsi="Garamond"/>
          <w:color w:val="333333"/>
          <w:sz w:val="24"/>
          <w:szCs w:val="24"/>
        </w:rPr>
        <w:t>- Be hesitant in using jargon.  If it is justified but not in mainstream usage, consider offering a definition in the endnotes.</w:t>
      </w:r>
    </w:p>
    <w:p w:rsidR="00CF58D7" w:rsidRDefault="00CF58D7" w:rsidP="00782819">
      <w:pPr>
        <w:spacing w:after="0" w:line="240" w:lineRule="auto"/>
        <w:rPr>
          <w:rFonts w:ascii="Garamond" w:hAnsi="Garamond"/>
          <w:color w:val="333333"/>
          <w:sz w:val="24"/>
          <w:szCs w:val="24"/>
        </w:rPr>
      </w:pPr>
    </w:p>
    <w:p w:rsidR="00F4475D" w:rsidRPr="00733E4C" w:rsidRDefault="00F4475D" w:rsidP="00782819">
      <w:pPr>
        <w:spacing w:after="0" w:line="240" w:lineRule="auto"/>
        <w:rPr>
          <w:rFonts w:ascii="Garamond" w:hAnsi="Garamond"/>
          <w:color w:val="333333"/>
          <w:sz w:val="24"/>
          <w:szCs w:val="24"/>
        </w:rPr>
      </w:pPr>
      <w:r>
        <w:rPr>
          <w:rFonts w:ascii="Garamond" w:hAnsi="Garamond"/>
          <w:color w:val="333333"/>
          <w:sz w:val="24"/>
          <w:szCs w:val="24"/>
        </w:rPr>
        <w:t xml:space="preserve">- When referring to an author (or any person) in the body of the article, use their first name and title (when applicable) the first time you mention them. </w:t>
      </w:r>
    </w:p>
    <w:p w:rsidR="002B7564" w:rsidRPr="00733E4C" w:rsidRDefault="002B7564" w:rsidP="00CD0912">
      <w:pPr>
        <w:rPr>
          <w:rFonts w:ascii="Garamond" w:hAnsi="Garamond" w:cs="Times New Roman"/>
          <w:sz w:val="24"/>
          <w:szCs w:val="24"/>
        </w:rPr>
      </w:pPr>
    </w:p>
    <w:p w:rsidR="00CD0912" w:rsidRPr="00733E4C" w:rsidRDefault="00CD0912" w:rsidP="001B5143">
      <w:pPr>
        <w:jc w:val="center"/>
        <w:rPr>
          <w:rFonts w:ascii="Garamond" w:hAnsi="Garamond" w:cs="Times New Roman"/>
          <w:sz w:val="24"/>
          <w:szCs w:val="24"/>
        </w:rPr>
      </w:pPr>
    </w:p>
    <w:sectPr w:rsidR="00CD0912" w:rsidRPr="00733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1MjMxNTExMjEyNbRQ0lEKTi0uzszPAykwrAUADdzoECwAAAA="/>
  </w:docVars>
  <w:rsids>
    <w:rsidRoot w:val="001B5143"/>
    <w:rsid w:val="001B5143"/>
    <w:rsid w:val="00237CC1"/>
    <w:rsid w:val="002B7564"/>
    <w:rsid w:val="003F6FD4"/>
    <w:rsid w:val="00480BFE"/>
    <w:rsid w:val="0055421E"/>
    <w:rsid w:val="005A2E1C"/>
    <w:rsid w:val="005D2C6A"/>
    <w:rsid w:val="00733E4C"/>
    <w:rsid w:val="00782819"/>
    <w:rsid w:val="009346EA"/>
    <w:rsid w:val="009C35DD"/>
    <w:rsid w:val="00AF4FAD"/>
    <w:rsid w:val="00C46344"/>
    <w:rsid w:val="00CD0912"/>
    <w:rsid w:val="00CF58D7"/>
    <w:rsid w:val="00EC514E"/>
    <w:rsid w:val="00F01CAA"/>
    <w:rsid w:val="00F4475D"/>
    <w:rsid w:val="00F8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43"/>
    <w:rPr>
      <w:rFonts w:ascii="Tahoma" w:hAnsi="Tahoma" w:cs="Tahoma"/>
      <w:sz w:val="16"/>
      <w:szCs w:val="16"/>
    </w:rPr>
  </w:style>
  <w:style w:type="character" w:styleId="Emphasis">
    <w:name w:val="Emphasis"/>
    <w:basedOn w:val="DefaultParagraphFont"/>
    <w:uiPriority w:val="20"/>
    <w:qFormat/>
    <w:rsid w:val="002B7564"/>
    <w:rPr>
      <w:i/>
      <w:iCs/>
    </w:rPr>
  </w:style>
  <w:style w:type="character" w:styleId="Hyperlink">
    <w:name w:val="Hyperlink"/>
    <w:basedOn w:val="DefaultParagraphFont"/>
    <w:uiPriority w:val="99"/>
    <w:unhideWhenUsed/>
    <w:rsid w:val="00F44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43"/>
    <w:rPr>
      <w:rFonts w:ascii="Tahoma" w:hAnsi="Tahoma" w:cs="Tahoma"/>
      <w:sz w:val="16"/>
      <w:szCs w:val="16"/>
    </w:rPr>
  </w:style>
  <w:style w:type="character" w:styleId="Emphasis">
    <w:name w:val="Emphasis"/>
    <w:basedOn w:val="DefaultParagraphFont"/>
    <w:uiPriority w:val="20"/>
    <w:qFormat/>
    <w:rsid w:val="002B7564"/>
    <w:rPr>
      <w:i/>
      <w:iCs/>
    </w:rPr>
  </w:style>
  <w:style w:type="character" w:styleId="Hyperlink">
    <w:name w:val="Hyperlink"/>
    <w:basedOn w:val="DefaultParagraphFont"/>
    <w:uiPriority w:val="99"/>
    <w:unhideWhenUsed/>
    <w:rsid w:val="00F44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quinn.iss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Executive Director</cp:lastModifiedBy>
  <cp:revision>2</cp:revision>
  <dcterms:created xsi:type="dcterms:W3CDTF">2019-01-09T16:54:00Z</dcterms:created>
  <dcterms:modified xsi:type="dcterms:W3CDTF">2019-01-09T16:54:00Z</dcterms:modified>
</cp:coreProperties>
</file>